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D57C" w14:textId="77777777" w:rsidR="00945198" w:rsidRDefault="00945198" w:rsidP="00945198">
      <w:pPr>
        <w:pStyle w:val="FOHeadlineGrau"/>
        <w:spacing w:after="0"/>
        <w:rPr>
          <w:color w:val="FF0000"/>
          <w:lang w:val="de-CH"/>
        </w:rPr>
      </w:pPr>
      <w:bookmarkStart w:id="0" w:name="_Toc265915456"/>
      <w:bookmarkStart w:id="1" w:name="_GoBack"/>
      <w:bookmarkEnd w:id="1"/>
      <w:r w:rsidRPr="00ED35B2">
        <w:rPr>
          <w:rFonts w:cs="Arial"/>
          <w:noProof/>
          <w:color w:val="92D050"/>
          <w:sz w:val="24"/>
          <w:szCs w:val="24"/>
          <w:lang w:val="de-CH" w:eastAsia="de-CH"/>
        </w:rPr>
        <w:drawing>
          <wp:inline distT="0" distB="0" distL="0" distR="0" wp14:anchorId="48EBE5B5" wp14:editId="2670D23B">
            <wp:extent cx="5755640" cy="3046730"/>
            <wp:effectExtent l="0" t="0" r="0" b="1270"/>
            <wp:docPr id="11" name="Grafik 11" descr="C:\Users\hed\Desktop\Indien%20MVK%202015%20FO%2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d\Desktop\Indien%20MVK%202015%20FO%20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3046730"/>
                    </a:xfrm>
                    <a:prstGeom prst="rect">
                      <a:avLst/>
                    </a:prstGeom>
                    <a:noFill/>
                    <a:ln>
                      <a:noFill/>
                    </a:ln>
                  </pic:spPr>
                </pic:pic>
              </a:graphicData>
            </a:graphic>
          </wp:inline>
        </w:drawing>
      </w:r>
    </w:p>
    <w:p w14:paraId="75E993EF" w14:textId="77777777" w:rsidR="00F627C9" w:rsidRDefault="00945198" w:rsidP="00F627C9">
      <w:pPr>
        <w:pStyle w:val="FOHeadlineGrau"/>
        <w:spacing w:before="280" w:after="0"/>
        <w:rPr>
          <w:rStyle w:val="FOHeadlineRot"/>
          <w:rFonts w:cs="Arial"/>
        </w:rPr>
      </w:pPr>
      <w:bookmarkStart w:id="2" w:name="_Toc428883374"/>
      <w:bookmarkEnd w:id="0"/>
      <w:r>
        <w:rPr>
          <w:rStyle w:val="FOHeadlineRot"/>
          <w:rFonts w:cs="Arial"/>
        </w:rPr>
        <w:t>Mit eigener Kraft</w:t>
      </w:r>
    </w:p>
    <w:p w14:paraId="6E568456" w14:textId="2BD0ECD1" w:rsidR="00945198" w:rsidRDefault="00945198" w:rsidP="00F627C9">
      <w:pPr>
        <w:pStyle w:val="FOHeadlineGrau"/>
        <w:rPr>
          <w:noProof/>
          <w:color w:val="747679"/>
          <w:lang w:val="de-CH" w:eastAsia="de-CH"/>
        </w:rPr>
      </w:pPr>
      <w:r>
        <w:rPr>
          <w:noProof/>
          <w:color w:val="747679"/>
          <w:lang w:val="de-CH" w:eastAsia="de-CH"/>
        </w:rPr>
        <w:t xml:space="preserve">aus </w:t>
      </w:r>
      <w:bookmarkEnd w:id="2"/>
      <w:r>
        <w:rPr>
          <w:noProof/>
          <w:color w:val="747679"/>
          <w:lang w:val="de-CH" w:eastAsia="de-CH"/>
        </w:rPr>
        <w:t>Verschuldung und Abhängigkeit</w:t>
      </w:r>
    </w:p>
    <w:p w14:paraId="7D2711C1" w14:textId="4255A4E0" w:rsidR="00945198" w:rsidRPr="00D97596" w:rsidRDefault="00945198" w:rsidP="005C7ABD">
      <w:pPr>
        <w:pStyle w:val="FOText"/>
        <w:spacing w:after="160"/>
        <w:rPr>
          <w:noProof/>
          <w:lang w:val="de-CH"/>
        </w:rPr>
      </w:pPr>
      <w:r w:rsidRPr="00D97596">
        <w:rPr>
          <w:noProof/>
          <w:lang w:val="de-CH"/>
        </w:rPr>
        <w:t xml:space="preserve">Die </w:t>
      </w:r>
      <w:r w:rsidR="005C7ABD">
        <w:rPr>
          <w:noProof/>
          <w:lang w:val="de-CH"/>
        </w:rPr>
        <w:t xml:space="preserve">indische </w:t>
      </w:r>
      <w:r w:rsidRPr="00D97596">
        <w:rPr>
          <w:noProof/>
          <w:lang w:val="de-CH"/>
        </w:rPr>
        <w:t>Regierung betreibt eine Politik zum Nachteil der Armen und der Umwelt. Adivasi und Dalits sind besonders benachteiligt. Um zu überleben, nehmen sie Kredite auf, die sie in Schuldknechtschaft führen.</w:t>
      </w:r>
    </w:p>
    <w:p w14:paraId="5EE102B0" w14:textId="18891FA7" w:rsidR="00945198" w:rsidRPr="00D97596" w:rsidRDefault="00945198" w:rsidP="005C7ABD">
      <w:pPr>
        <w:pStyle w:val="FOText"/>
        <w:spacing w:after="160"/>
        <w:rPr>
          <w:noProof/>
          <w:lang w:val="de-CH"/>
        </w:rPr>
      </w:pPr>
      <w:r w:rsidRPr="00D97596">
        <w:rPr>
          <w:noProof/>
          <w:lang w:val="de-CH"/>
        </w:rPr>
        <w:t xml:space="preserve">Nach wie vor leben 375 Millionen Menschen in Indien mit Hunger. Viele Nichtregierungsorganisationen (NGO) setzten sich für sie ein. </w:t>
      </w:r>
      <w:r w:rsidR="005C7ABD">
        <w:rPr>
          <w:noProof/>
          <w:lang w:val="de-CH"/>
        </w:rPr>
        <w:t>Seit 2014</w:t>
      </w:r>
      <w:r w:rsidRPr="00D97596">
        <w:rPr>
          <w:noProof/>
          <w:lang w:val="de-CH"/>
        </w:rPr>
        <w:t xml:space="preserve"> entzog die Regierung rund </w:t>
      </w:r>
      <w:r w:rsidR="005C7ABD">
        <w:rPr>
          <w:noProof/>
          <w:lang w:val="de-CH"/>
        </w:rPr>
        <w:t>24’000</w:t>
      </w:r>
      <w:r w:rsidRPr="00D97596">
        <w:rPr>
          <w:noProof/>
          <w:lang w:val="de-CH"/>
        </w:rPr>
        <w:t xml:space="preserve"> Organisationen die FCRA-Registrierung, ohne die NGO keine internationalen Spenden </w:t>
      </w:r>
      <w:r w:rsidR="005C7ABD">
        <w:rPr>
          <w:noProof/>
          <w:lang w:val="de-CH"/>
        </w:rPr>
        <w:t>annehmen dürfen</w:t>
      </w:r>
      <w:r w:rsidRPr="00D97596">
        <w:rPr>
          <w:noProof/>
          <w:lang w:val="de-CH"/>
        </w:rPr>
        <w:t>. Hindu-nationalistische Ideologien setzen ein zunehmend repressives gesellschaftliches und politisches Klima durch und versuchen, Minderheiten mit Zwang zu integrieren. Bisher konnten alle Partnerorganisationen weiterarbeiten – dies setzt aber voraus, dass sie ihre Aktivitäten ohne grosses Aufsehen durchführen.</w:t>
      </w:r>
    </w:p>
    <w:p w14:paraId="7930F13A" w14:textId="72A85FEC" w:rsidR="00945198" w:rsidRPr="00D97596" w:rsidRDefault="00945198" w:rsidP="00362A16">
      <w:pPr>
        <w:pStyle w:val="FOText"/>
        <w:spacing w:after="0"/>
        <w:rPr>
          <w:noProof/>
          <w:lang w:val="de-CH"/>
        </w:rPr>
      </w:pPr>
      <w:r w:rsidRPr="00D97596">
        <w:rPr>
          <w:noProof/>
          <w:lang w:val="de-CH"/>
        </w:rPr>
        <w:t>Dank gemeinsamen Sparkassen befreien sich die Adivasi- und Dalit</w:t>
      </w:r>
      <w:r w:rsidR="00E95267">
        <w:rPr>
          <w:noProof/>
          <w:lang w:val="de-CH"/>
        </w:rPr>
        <w:t>-</w:t>
      </w:r>
      <w:r w:rsidRPr="00D97596">
        <w:rPr>
          <w:noProof/>
          <w:lang w:val="de-CH"/>
        </w:rPr>
        <w:t>Gruppen von ihren Schulden bei Grossgrundbesitzern, weil sie sich damit gegenseitig aushelfen können. In Schulungen lernen sie ihre</w:t>
      </w:r>
    </w:p>
    <w:p w14:paraId="405CCED6" w14:textId="6A0E2592" w:rsidR="00945198" w:rsidRPr="00D97596" w:rsidRDefault="00945198" w:rsidP="005C7ABD">
      <w:pPr>
        <w:pStyle w:val="FOText"/>
        <w:spacing w:after="160"/>
        <w:rPr>
          <w:lang w:val="de-CH"/>
        </w:rPr>
      </w:pPr>
      <w:r w:rsidRPr="00D97596">
        <w:rPr>
          <w:noProof/>
          <w:lang w:val="de-CH"/>
        </w:rPr>
        <w:t>Rechte kennen und fordern die ihnen zustehenden staatlichen Dienstleistungen wie den Zugang zu Schulen. Damit sie sich langfristig eine Lebensgrundlage schaffen können, bemühen sie sich um juristische Landtitel. So können die Gruppen – oft nach jahrelangen harten Prozessen – ihre eigenen Lebensmittel anbauen. Weiterbildung ist ein konstanter Bestandteil dieses Befreiungsprozesses. Thematisiert werden dabei unter anderem der Zugang zu Land oder die Verteidigung ihrer Lebens</w:t>
      </w:r>
      <w:r w:rsidR="00362A16">
        <w:rPr>
          <w:noProof/>
          <w:lang w:val="de-CH"/>
        </w:rPr>
        <w:t>-</w:t>
      </w:r>
      <w:r w:rsidRPr="00D97596">
        <w:rPr>
          <w:noProof/>
          <w:lang w:val="de-CH"/>
        </w:rPr>
        <w:t>grundlagen gegen Minenvorhaben</w:t>
      </w:r>
      <w:r w:rsidR="005C7ABD">
        <w:rPr>
          <w:noProof/>
          <w:lang w:val="de-CH"/>
        </w:rPr>
        <w:t>.</w:t>
      </w:r>
    </w:p>
    <w:p w14:paraId="4377CF98" w14:textId="5F9CDD17" w:rsidR="00945198" w:rsidRPr="005C7ABD" w:rsidRDefault="005C7ABD" w:rsidP="005C7ABD">
      <w:pPr>
        <w:pStyle w:val="FOText"/>
        <w:spacing w:after="0"/>
        <w:rPr>
          <w:b/>
        </w:rPr>
      </w:pPr>
      <w:r w:rsidRPr="005C7ABD">
        <w:rPr>
          <w:b/>
        </w:rPr>
        <w:t>Ziele 2019</w:t>
      </w:r>
    </w:p>
    <w:p w14:paraId="6663CA9D" w14:textId="5B5FC2FB" w:rsidR="00945198" w:rsidRDefault="005C7ABD" w:rsidP="005C7ABD">
      <w:pPr>
        <w:pStyle w:val="FOText"/>
        <w:numPr>
          <w:ilvl w:val="0"/>
          <w:numId w:val="13"/>
        </w:numPr>
        <w:spacing w:after="0"/>
      </w:pPr>
      <w:r>
        <w:t>3000 Männer und 4000 Frauen gründen neu eine Spar- und Kreditgruppe.</w:t>
      </w:r>
    </w:p>
    <w:p w14:paraId="66F168D3" w14:textId="3C1334CC" w:rsidR="005C7ABD" w:rsidRPr="005C7ABD" w:rsidRDefault="005C7ABD" w:rsidP="005C7ABD">
      <w:pPr>
        <w:pStyle w:val="FOText"/>
        <w:numPr>
          <w:ilvl w:val="0"/>
          <w:numId w:val="13"/>
        </w:numPr>
        <w:spacing w:after="0"/>
        <w:rPr>
          <w:lang w:val="de-CH"/>
        </w:rPr>
      </w:pPr>
      <w:r>
        <w:t>10‘000 Familien befreien sich neu von den Schulden bei den Grossgrundbesitzern.</w:t>
      </w:r>
    </w:p>
    <w:p w14:paraId="47DD3DE4" w14:textId="3C1334CC" w:rsidR="005C7ABD" w:rsidRDefault="005C7ABD" w:rsidP="005C7ABD">
      <w:pPr>
        <w:pStyle w:val="FOText"/>
        <w:numPr>
          <w:ilvl w:val="0"/>
          <w:numId w:val="13"/>
        </w:numPr>
        <w:spacing w:after="0"/>
        <w:rPr>
          <w:lang w:val="de-CH"/>
        </w:rPr>
      </w:pPr>
      <w:r>
        <w:rPr>
          <w:lang w:val="de-CH"/>
        </w:rPr>
        <w:t>2000 Familien lancieren einen Prozess mit dem Ziel, das Land legal zugesprochen zu erhalten.</w:t>
      </w:r>
    </w:p>
    <w:p w14:paraId="68A6BD74" w14:textId="706139BD" w:rsidR="005C7ABD" w:rsidRPr="005C7ABD" w:rsidRDefault="005C7ABD" w:rsidP="005C7ABD">
      <w:pPr>
        <w:pStyle w:val="FOText"/>
        <w:numPr>
          <w:ilvl w:val="0"/>
          <w:numId w:val="13"/>
        </w:numPr>
        <w:rPr>
          <w:lang w:val="de-CH"/>
        </w:rPr>
      </w:pPr>
      <w:r>
        <w:rPr>
          <w:lang w:val="de-CH"/>
        </w:rPr>
        <w:t>2000 Mädchen werden neu eingeschult.</w:t>
      </w:r>
    </w:p>
    <w:p w14:paraId="1A043ED6" w14:textId="5758062A" w:rsidR="00945198" w:rsidRPr="00945198" w:rsidRDefault="00945198" w:rsidP="005C7ABD">
      <w:pPr>
        <w:pStyle w:val="FOText"/>
        <w:spacing w:after="0"/>
        <w:ind w:left="284"/>
        <w:rPr>
          <w:lang w:val="de-CH"/>
        </w:rPr>
      </w:pPr>
      <w:r w:rsidRPr="00B02609">
        <w:t>.</w:t>
      </w:r>
    </w:p>
    <w:p w14:paraId="117A5A7F" w14:textId="77777777" w:rsidR="007B6B1B" w:rsidRPr="00511829" w:rsidRDefault="00511829" w:rsidP="00945198">
      <w:pPr>
        <w:pStyle w:val="FOText"/>
        <w:rPr>
          <w:rFonts w:cs="Arial"/>
          <w:b/>
          <w:color w:val="76923C" w:themeColor="accent3" w:themeShade="BF"/>
        </w:rPr>
      </w:pPr>
      <w:r w:rsidRPr="00945198">
        <w:rPr>
          <w:lang w:val="de-CH"/>
        </w:rPr>
        <w:br w:type="page"/>
      </w:r>
      <w:r w:rsidR="002A5FD2" w:rsidRPr="002A5FD2">
        <w:rPr>
          <w:rFonts w:cs="Arial"/>
          <w:b/>
          <w:noProof/>
          <w:color w:val="76923C" w:themeColor="accent3" w:themeShade="BF"/>
          <w:lang w:val="de-CH" w:eastAsia="de-CH"/>
        </w:rPr>
        <w:lastRenderedPageBreak/>
        <w:drawing>
          <wp:inline distT="0" distB="0" distL="0" distR="0" wp14:anchorId="36523775" wp14:editId="2C3E6FA3">
            <wp:extent cx="2934000" cy="2520000"/>
            <wp:effectExtent l="0" t="0" r="0" b="0"/>
            <wp:docPr id="1" name="Grafik 1" descr="Z:\KOM\03_STM\10 Projektservice Pfarreien\1_2 PS_Unterlagen\PS_UNTERLAGEN\Aktuelle Vorlagen\Karten Länder\2018_NEUE_Karten-gesammelt\Indien\indien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OM\03_STM\10 Projektservice Pfarreien\1_2 PS_Unterlagen\PS_UNTERLAGEN\Aktuelle Vorlagen\Karten Länder\2018_NEUE_Karten-gesammelt\Indien\indien_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000" cy="2520000"/>
                    </a:xfrm>
                    <a:prstGeom prst="rect">
                      <a:avLst/>
                    </a:prstGeom>
                    <a:noFill/>
                    <a:ln>
                      <a:noFill/>
                    </a:ln>
                  </pic:spPr>
                </pic:pic>
              </a:graphicData>
            </a:graphic>
          </wp:inline>
        </w:drawing>
      </w:r>
    </w:p>
    <w:p w14:paraId="2FEB5DF4" w14:textId="03536D3C" w:rsidR="007B6B1B" w:rsidRPr="00132A03" w:rsidRDefault="007B6B1B" w:rsidP="007B6B1B">
      <w:pPr>
        <w:pStyle w:val="FOTitel"/>
      </w:pPr>
      <w:r w:rsidRPr="00132A03">
        <w:t xml:space="preserve">Landesinformation </w:t>
      </w:r>
      <w:r>
        <w:t>Indien</w:t>
      </w:r>
    </w:p>
    <w:tbl>
      <w:tblPr>
        <w:tblStyle w:val="FOTabelle"/>
        <w:tblW w:w="9057" w:type="dxa"/>
        <w:tblLayout w:type="fixed"/>
        <w:tblLook w:val="0000" w:firstRow="0" w:lastRow="0" w:firstColumn="0" w:lastColumn="0" w:noHBand="0" w:noVBand="0"/>
      </w:tblPr>
      <w:tblGrid>
        <w:gridCol w:w="2552"/>
        <w:gridCol w:w="6505"/>
      </w:tblGrid>
      <w:tr w:rsidR="007B6B1B" w:rsidRPr="00132A03" w14:paraId="2EA8C2F8" w14:textId="77777777" w:rsidTr="00C67325">
        <w:trPr>
          <w:trHeight w:val="60"/>
        </w:trPr>
        <w:tc>
          <w:tcPr>
            <w:tcW w:w="2552" w:type="dxa"/>
          </w:tcPr>
          <w:p w14:paraId="73802BAF" w14:textId="77777777" w:rsidR="007B6B1B" w:rsidRPr="009E6DC9" w:rsidRDefault="007B6B1B" w:rsidP="00CA78DF">
            <w:pPr>
              <w:pStyle w:val="FOTabelle2"/>
              <w:jc w:val="left"/>
              <w:rPr>
                <w:b w:val="0"/>
              </w:rPr>
            </w:pPr>
            <w:r w:rsidRPr="009E6DC9">
              <w:t>Landesfläche:</w:t>
            </w:r>
          </w:p>
        </w:tc>
        <w:tc>
          <w:tcPr>
            <w:tcW w:w="6505" w:type="dxa"/>
          </w:tcPr>
          <w:p w14:paraId="1718D4CF" w14:textId="089328DD" w:rsidR="007B6B1B" w:rsidRPr="007B6B1B" w:rsidRDefault="00CF7873" w:rsidP="00CA78DF">
            <w:pPr>
              <w:pStyle w:val="FOTabelle2"/>
              <w:jc w:val="left"/>
              <w:rPr>
                <w:b w:val="0"/>
              </w:rPr>
            </w:pPr>
            <w:r w:rsidRPr="00CF7873">
              <w:rPr>
                <w:rFonts w:cs="Arial"/>
                <w:b w:val="0"/>
                <w:szCs w:val="20"/>
              </w:rPr>
              <w:t>3‘287‘263 km² (41‘290</w:t>
            </w:r>
          </w:p>
        </w:tc>
      </w:tr>
      <w:tr w:rsidR="007B6B1B" w:rsidRPr="00132A03" w14:paraId="46816403" w14:textId="77777777" w:rsidTr="00C67325">
        <w:trPr>
          <w:trHeight w:val="60"/>
        </w:trPr>
        <w:tc>
          <w:tcPr>
            <w:tcW w:w="2552" w:type="dxa"/>
          </w:tcPr>
          <w:p w14:paraId="1B4C7FA9" w14:textId="77777777" w:rsidR="007B6B1B" w:rsidRPr="009E6DC9" w:rsidRDefault="007B6B1B" w:rsidP="00CA78DF">
            <w:pPr>
              <w:pStyle w:val="FOTabelle2"/>
              <w:jc w:val="left"/>
              <w:rPr>
                <w:b w:val="0"/>
              </w:rPr>
            </w:pPr>
            <w:r w:rsidRPr="009E6DC9">
              <w:t>Bevölkerung:</w:t>
            </w:r>
          </w:p>
        </w:tc>
        <w:tc>
          <w:tcPr>
            <w:tcW w:w="6505" w:type="dxa"/>
          </w:tcPr>
          <w:p w14:paraId="60CA2885" w14:textId="5CE84D93" w:rsidR="007B6B1B" w:rsidRPr="007B6B1B" w:rsidRDefault="00CF7873" w:rsidP="00F363C9">
            <w:pPr>
              <w:pStyle w:val="FOTabelle2"/>
              <w:jc w:val="left"/>
              <w:rPr>
                <w:b w:val="0"/>
              </w:rPr>
            </w:pPr>
            <w:r w:rsidRPr="00CF7873">
              <w:rPr>
                <w:rFonts w:cs="Arial"/>
                <w:b w:val="0"/>
                <w:szCs w:val="20"/>
              </w:rPr>
              <w:t>1.324.171 Mrd. (8.372)</w:t>
            </w:r>
          </w:p>
        </w:tc>
      </w:tr>
      <w:tr w:rsidR="007B6B1B" w:rsidRPr="00132A03" w14:paraId="184A1244" w14:textId="77777777" w:rsidTr="00C67325">
        <w:trPr>
          <w:trHeight w:val="60"/>
        </w:trPr>
        <w:tc>
          <w:tcPr>
            <w:tcW w:w="2552" w:type="dxa"/>
          </w:tcPr>
          <w:p w14:paraId="6CE69DEE" w14:textId="77777777" w:rsidR="007B6B1B" w:rsidRPr="00CF7873" w:rsidRDefault="007B6B1B" w:rsidP="00CA78DF">
            <w:pPr>
              <w:pStyle w:val="FOTabelle2"/>
              <w:jc w:val="left"/>
              <w:rPr>
                <w:b w:val="0"/>
              </w:rPr>
            </w:pPr>
            <w:r w:rsidRPr="00CF7873">
              <w:rPr>
                <w:b w:val="0"/>
              </w:rPr>
              <w:t>Bevölkerungsdichte:</w:t>
            </w:r>
          </w:p>
        </w:tc>
        <w:tc>
          <w:tcPr>
            <w:tcW w:w="6505" w:type="dxa"/>
          </w:tcPr>
          <w:p w14:paraId="6645A14E" w14:textId="118B7BE1" w:rsidR="007B6B1B" w:rsidRPr="00CF7873" w:rsidRDefault="00CF7873" w:rsidP="008C31BF">
            <w:pPr>
              <w:pStyle w:val="FOTabelle2"/>
              <w:jc w:val="left"/>
              <w:rPr>
                <w:b w:val="0"/>
              </w:rPr>
            </w:pPr>
            <w:r w:rsidRPr="00CF7873">
              <w:rPr>
                <w:b w:val="0"/>
              </w:rPr>
              <w:t>402.8 Einw./km²  (202.8</w:t>
            </w:r>
            <w:r w:rsidR="007B6B1B" w:rsidRPr="00CF7873">
              <w:rPr>
                <w:rFonts w:cs="Arial"/>
                <w:b w:val="0"/>
                <w:szCs w:val="20"/>
              </w:rPr>
              <w:t>)</w:t>
            </w:r>
          </w:p>
        </w:tc>
      </w:tr>
      <w:tr w:rsidR="007B6B1B" w:rsidRPr="00132A03" w14:paraId="136FE591" w14:textId="77777777" w:rsidTr="00C67325">
        <w:trPr>
          <w:trHeight w:val="60"/>
        </w:trPr>
        <w:tc>
          <w:tcPr>
            <w:tcW w:w="2552" w:type="dxa"/>
          </w:tcPr>
          <w:p w14:paraId="6CAB87E0" w14:textId="77777777" w:rsidR="007B6B1B" w:rsidRPr="009E6DC9" w:rsidRDefault="007B6B1B" w:rsidP="00CA78DF">
            <w:pPr>
              <w:pStyle w:val="FOTabelle2"/>
              <w:jc w:val="left"/>
              <w:rPr>
                <w:b w:val="0"/>
              </w:rPr>
            </w:pPr>
            <w:r w:rsidRPr="009E6DC9">
              <w:t>Hauptstadt:</w:t>
            </w:r>
          </w:p>
        </w:tc>
        <w:tc>
          <w:tcPr>
            <w:tcW w:w="6505" w:type="dxa"/>
          </w:tcPr>
          <w:p w14:paraId="0B88A007" w14:textId="77777777" w:rsidR="007B6B1B" w:rsidRPr="007B6B1B" w:rsidRDefault="007B6B1B" w:rsidP="00CA78DF">
            <w:pPr>
              <w:pStyle w:val="FOTabelle2"/>
              <w:jc w:val="left"/>
              <w:rPr>
                <w:b w:val="0"/>
              </w:rPr>
            </w:pPr>
            <w:r w:rsidRPr="007B6B1B">
              <w:rPr>
                <w:rFonts w:cs="Arial"/>
                <w:b w:val="0"/>
                <w:szCs w:val="20"/>
              </w:rPr>
              <w:t>Neu-Dehli</w:t>
            </w:r>
          </w:p>
        </w:tc>
      </w:tr>
      <w:tr w:rsidR="007B6B1B" w:rsidRPr="00132A03" w14:paraId="728EB2B3" w14:textId="77777777" w:rsidTr="00C67325">
        <w:trPr>
          <w:trHeight w:val="60"/>
        </w:trPr>
        <w:tc>
          <w:tcPr>
            <w:tcW w:w="2552" w:type="dxa"/>
          </w:tcPr>
          <w:p w14:paraId="46C6A7EB" w14:textId="77777777" w:rsidR="007B6B1B" w:rsidRPr="009E6DC9" w:rsidRDefault="007B6B1B" w:rsidP="00CA78DF">
            <w:pPr>
              <w:pStyle w:val="FOTabelle2"/>
              <w:jc w:val="left"/>
              <w:rPr>
                <w:b w:val="0"/>
              </w:rPr>
            </w:pPr>
            <w:r w:rsidRPr="009E6DC9">
              <w:t>Staatsform:</w:t>
            </w:r>
          </w:p>
        </w:tc>
        <w:tc>
          <w:tcPr>
            <w:tcW w:w="6505" w:type="dxa"/>
          </w:tcPr>
          <w:p w14:paraId="4E24BDB5" w14:textId="77777777" w:rsidR="007B6B1B" w:rsidRPr="007B6B1B" w:rsidRDefault="007B6B1B" w:rsidP="00CA78DF">
            <w:pPr>
              <w:pStyle w:val="FOTabelle2"/>
              <w:jc w:val="left"/>
              <w:rPr>
                <w:b w:val="0"/>
              </w:rPr>
            </w:pPr>
            <w:r w:rsidRPr="007B6B1B">
              <w:rPr>
                <w:rFonts w:cs="Arial"/>
                <w:b w:val="0"/>
                <w:szCs w:val="20"/>
              </w:rPr>
              <w:t>Parlamentarische Bundesrepublik</w:t>
            </w:r>
          </w:p>
        </w:tc>
      </w:tr>
      <w:tr w:rsidR="007B6B1B" w:rsidRPr="00132A03" w14:paraId="6A5F6408" w14:textId="77777777" w:rsidTr="00C67325">
        <w:trPr>
          <w:trHeight w:val="60"/>
        </w:trPr>
        <w:tc>
          <w:tcPr>
            <w:tcW w:w="2552" w:type="dxa"/>
          </w:tcPr>
          <w:p w14:paraId="676A7715" w14:textId="77777777" w:rsidR="007B6B1B" w:rsidRPr="009E6DC9" w:rsidRDefault="007B6B1B" w:rsidP="00CA78DF">
            <w:pPr>
              <w:pStyle w:val="FOTabelle2"/>
              <w:jc w:val="left"/>
              <w:rPr>
                <w:b w:val="0"/>
              </w:rPr>
            </w:pPr>
            <w:r w:rsidRPr="009E6DC9">
              <w:t>Sprachen:</w:t>
            </w:r>
          </w:p>
        </w:tc>
        <w:tc>
          <w:tcPr>
            <w:tcW w:w="6505" w:type="dxa"/>
          </w:tcPr>
          <w:p w14:paraId="7A675CC8" w14:textId="77777777" w:rsidR="007B6B1B" w:rsidRPr="007B6B1B" w:rsidRDefault="007B6B1B" w:rsidP="00CA78DF">
            <w:pPr>
              <w:pStyle w:val="FOTabelle2"/>
              <w:jc w:val="left"/>
              <w:rPr>
                <w:b w:val="0"/>
                <w:szCs w:val="19"/>
              </w:rPr>
            </w:pPr>
            <w:r w:rsidRPr="007B6B1B">
              <w:rPr>
                <w:rFonts w:cs="Arial"/>
                <w:b w:val="0"/>
                <w:szCs w:val="19"/>
              </w:rPr>
              <w:t>Hindi, Englisch (Amtssprachen), 22 weitere Regionalsprachen</w:t>
            </w:r>
          </w:p>
        </w:tc>
      </w:tr>
      <w:tr w:rsidR="007B6B1B" w:rsidRPr="00132A03" w14:paraId="3DE2A1AB" w14:textId="77777777" w:rsidTr="00C67325">
        <w:trPr>
          <w:trHeight w:val="60"/>
        </w:trPr>
        <w:tc>
          <w:tcPr>
            <w:tcW w:w="2552" w:type="dxa"/>
          </w:tcPr>
          <w:p w14:paraId="688D7F04" w14:textId="77777777" w:rsidR="007B6B1B" w:rsidRPr="009E6DC9" w:rsidRDefault="007B6B1B" w:rsidP="00CA78DF">
            <w:pPr>
              <w:pStyle w:val="FOTabelle2"/>
              <w:jc w:val="left"/>
              <w:rPr>
                <w:b w:val="0"/>
              </w:rPr>
            </w:pPr>
            <w:r w:rsidRPr="009E6DC9">
              <w:t>Religionen:</w:t>
            </w:r>
          </w:p>
        </w:tc>
        <w:tc>
          <w:tcPr>
            <w:tcW w:w="6505" w:type="dxa"/>
          </w:tcPr>
          <w:p w14:paraId="174E9CD0" w14:textId="77777777" w:rsidR="007B6B1B" w:rsidRPr="007B6B1B" w:rsidRDefault="007B6B1B" w:rsidP="00CA78DF">
            <w:pPr>
              <w:pStyle w:val="FOTabelle2"/>
              <w:jc w:val="left"/>
              <w:rPr>
                <w:b w:val="0"/>
              </w:rPr>
            </w:pPr>
            <w:r w:rsidRPr="007B6B1B">
              <w:rPr>
                <w:rFonts w:cs="Arial"/>
                <w:b w:val="0"/>
                <w:szCs w:val="20"/>
              </w:rPr>
              <w:t>81% Hindus, 13% Muslime, 2% Christen, 2% Sikhs, 1% Buddhisten; Dschainas, Bahai, Parsen u.a.</w:t>
            </w:r>
          </w:p>
        </w:tc>
      </w:tr>
      <w:tr w:rsidR="007B6B1B" w:rsidRPr="00132A03" w14:paraId="7D7E6007" w14:textId="77777777" w:rsidTr="00C67325">
        <w:trPr>
          <w:trHeight w:val="60"/>
        </w:trPr>
        <w:tc>
          <w:tcPr>
            <w:tcW w:w="2552" w:type="dxa"/>
          </w:tcPr>
          <w:p w14:paraId="3A60E940" w14:textId="7B78C400" w:rsidR="007B6B1B" w:rsidRPr="00EE6832" w:rsidRDefault="00EE6832" w:rsidP="00CA78DF">
            <w:pPr>
              <w:pStyle w:val="FOTabelle2"/>
              <w:jc w:val="left"/>
            </w:pPr>
            <w:r w:rsidRPr="00EE6832">
              <w:t>Wohlstandsindikator (HDI)</w:t>
            </w:r>
          </w:p>
        </w:tc>
        <w:tc>
          <w:tcPr>
            <w:tcW w:w="6505" w:type="dxa"/>
          </w:tcPr>
          <w:p w14:paraId="32E104B5" w14:textId="693DCF0B" w:rsidR="007B6B1B" w:rsidRPr="007B6B1B" w:rsidRDefault="00CB0801" w:rsidP="00CA78DF">
            <w:pPr>
              <w:pStyle w:val="FOTabelle2"/>
              <w:jc w:val="left"/>
              <w:rPr>
                <w:b w:val="0"/>
              </w:rPr>
            </w:pPr>
            <w:r w:rsidRPr="00CB0801">
              <w:rPr>
                <w:b w:val="0"/>
              </w:rPr>
              <w:t>0.624 / 131. Stelle von 188 Ländern (0.939 / 2. Stelle)</w:t>
            </w:r>
          </w:p>
        </w:tc>
      </w:tr>
      <w:tr w:rsidR="007B6B1B" w:rsidRPr="00132A03" w14:paraId="28B6F199" w14:textId="77777777" w:rsidTr="00C67325">
        <w:trPr>
          <w:trHeight w:val="60"/>
        </w:trPr>
        <w:tc>
          <w:tcPr>
            <w:tcW w:w="2552" w:type="dxa"/>
          </w:tcPr>
          <w:p w14:paraId="7034F3D6" w14:textId="77777777" w:rsidR="007B6B1B" w:rsidRPr="009E6DC9" w:rsidRDefault="007B6B1B" w:rsidP="00CA78DF">
            <w:pPr>
              <w:pStyle w:val="FOTabelle2"/>
              <w:jc w:val="left"/>
              <w:rPr>
                <w:b w:val="0"/>
              </w:rPr>
            </w:pPr>
            <w:r w:rsidRPr="009E6DC9">
              <w:t>Alphabetisierung:</w:t>
            </w:r>
          </w:p>
        </w:tc>
        <w:tc>
          <w:tcPr>
            <w:tcW w:w="6505" w:type="dxa"/>
          </w:tcPr>
          <w:p w14:paraId="3A7B569F" w14:textId="61A51DEA" w:rsidR="007B6B1B" w:rsidRPr="007B6B1B" w:rsidRDefault="00CB0801" w:rsidP="00CA78DF">
            <w:pPr>
              <w:pStyle w:val="FOTabelle2"/>
              <w:jc w:val="left"/>
              <w:rPr>
                <w:b w:val="0"/>
              </w:rPr>
            </w:pPr>
            <w:r w:rsidRPr="00CB0801">
              <w:rPr>
                <w:rFonts w:cs="Arial"/>
                <w:b w:val="0"/>
                <w:szCs w:val="20"/>
              </w:rPr>
              <w:t>72% (99.6)</w:t>
            </w:r>
          </w:p>
        </w:tc>
      </w:tr>
      <w:tr w:rsidR="007B6B1B" w:rsidRPr="00132A03" w14:paraId="799735D3" w14:textId="77777777" w:rsidTr="00C67325">
        <w:trPr>
          <w:trHeight w:val="60"/>
        </w:trPr>
        <w:tc>
          <w:tcPr>
            <w:tcW w:w="2552" w:type="dxa"/>
          </w:tcPr>
          <w:p w14:paraId="0D5F3A46" w14:textId="77777777" w:rsidR="007B6B1B" w:rsidRPr="009E6DC9" w:rsidRDefault="007B6B1B" w:rsidP="00CA78DF">
            <w:pPr>
              <w:pStyle w:val="FOTabelle2"/>
              <w:jc w:val="left"/>
              <w:rPr>
                <w:b w:val="0"/>
              </w:rPr>
            </w:pPr>
            <w:r w:rsidRPr="009E6DC9">
              <w:t>Kindersterblichkeit:</w:t>
            </w:r>
          </w:p>
        </w:tc>
        <w:tc>
          <w:tcPr>
            <w:tcW w:w="6505" w:type="dxa"/>
          </w:tcPr>
          <w:p w14:paraId="194B520B" w14:textId="00FA89E8" w:rsidR="007B6B1B" w:rsidRPr="007B6B1B" w:rsidRDefault="007C0A24" w:rsidP="007C0A24">
            <w:pPr>
              <w:pStyle w:val="FOTabelle2"/>
              <w:jc w:val="left"/>
              <w:rPr>
                <w:b w:val="0"/>
              </w:rPr>
            </w:pPr>
            <w:r>
              <w:rPr>
                <w:rFonts w:cs="Arial"/>
                <w:b w:val="0"/>
                <w:szCs w:val="20"/>
              </w:rPr>
              <w:t>4.8</w:t>
            </w:r>
            <w:r w:rsidR="007B6B1B" w:rsidRPr="007B6B1B">
              <w:rPr>
                <w:rFonts w:cs="Arial"/>
                <w:b w:val="0"/>
                <w:szCs w:val="20"/>
              </w:rPr>
              <w:t xml:space="preserve"> % (0.4)</w:t>
            </w:r>
          </w:p>
        </w:tc>
      </w:tr>
      <w:tr w:rsidR="007B6B1B" w:rsidRPr="00132A03" w14:paraId="5A9E1683" w14:textId="77777777" w:rsidTr="00C67325">
        <w:trPr>
          <w:trHeight w:val="60"/>
        </w:trPr>
        <w:tc>
          <w:tcPr>
            <w:tcW w:w="2552" w:type="dxa"/>
          </w:tcPr>
          <w:p w14:paraId="38F8EAF2" w14:textId="77777777" w:rsidR="007B6B1B" w:rsidRPr="009E6DC9" w:rsidRDefault="007B6B1B" w:rsidP="00CA78DF">
            <w:pPr>
              <w:pStyle w:val="FOTabelle2"/>
              <w:jc w:val="left"/>
              <w:rPr>
                <w:b w:val="0"/>
              </w:rPr>
            </w:pPr>
            <w:r w:rsidRPr="009E6DC9">
              <w:t>Lebenserwartung:</w:t>
            </w:r>
          </w:p>
        </w:tc>
        <w:tc>
          <w:tcPr>
            <w:tcW w:w="6505" w:type="dxa"/>
          </w:tcPr>
          <w:p w14:paraId="405A132A" w14:textId="7A400C65" w:rsidR="007B6B1B" w:rsidRPr="007B6B1B" w:rsidRDefault="007C0A24" w:rsidP="00CA78DF">
            <w:pPr>
              <w:pStyle w:val="FOTabelle2"/>
              <w:jc w:val="left"/>
              <w:rPr>
                <w:b w:val="0"/>
              </w:rPr>
            </w:pPr>
            <w:r>
              <w:rPr>
                <w:rFonts w:cs="Arial"/>
                <w:b w:val="0"/>
                <w:szCs w:val="20"/>
              </w:rPr>
              <w:t>68</w:t>
            </w:r>
            <w:r w:rsidR="007B6B1B" w:rsidRPr="007B6B1B">
              <w:rPr>
                <w:rFonts w:cs="Arial"/>
                <w:b w:val="0"/>
                <w:szCs w:val="20"/>
              </w:rPr>
              <w:t xml:space="preserve"> Jahre (83 Jahre)</w:t>
            </w:r>
          </w:p>
        </w:tc>
      </w:tr>
    </w:tbl>
    <w:p w14:paraId="7DD27AC6" w14:textId="6A498728" w:rsidR="007B6B1B" w:rsidRDefault="00326379" w:rsidP="007B6B1B">
      <w:pPr>
        <w:pStyle w:val="FOLegende"/>
      </w:pPr>
      <w:r w:rsidRPr="00326379">
        <w:t>Fischer Weltalmanach 2018 / hdr.undp.org/en/data 2016 – Zahlen in Klammern im Vergleich zur Schweiz</w:t>
      </w:r>
    </w:p>
    <w:p w14:paraId="0EBD004F" w14:textId="77777777" w:rsidR="007B6B1B" w:rsidRPr="00BF602E" w:rsidRDefault="007B6B1B" w:rsidP="007B6B1B">
      <w:pPr>
        <w:pStyle w:val="FOTitel"/>
      </w:pPr>
      <w:r w:rsidRPr="00BF602E">
        <w:t>Fastenopfer</w:t>
      </w:r>
    </w:p>
    <w:p w14:paraId="03C18C47" w14:textId="77777777" w:rsidR="007B6B1B" w:rsidRPr="00513138" w:rsidRDefault="007B6B1B" w:rsidP="007B6B1B">
      <w:pPr>
        <w:pStyle w:val="FOText"/>
        <w:spacing w:after="60"/>
      </w:pPr>
      <w:r w:rsidRPr="00513138">
        <w:t xml:space="preserve">ist das Hilfswerk der Katholikinnen und Katholiken in der Schweiz. Wir setzen uns im Norden wie im Süden für eine gerechtere Welt ein, in der die Menschen nicht unter Hunger und Armut leiden, sondern ein würdiges Leben führen. </w:t>
      </w:r>
    </w:p>
    <w:p w14:paraId="332F2E66" w14:textId="77777777" w:rsidR="007B6B1B" w:rsidRPr="00780A75" w:rsidRDefault="007B6B1B" w:rsidP="007B6B1B">
      <w:pPr>
        <w:pStyle w:val="FOTitel"/>
        <w:spacing w:before="60"/>
      </w:pPr>
      <w:r w:rsidRPr="00780A75">
        <w:t>Menschen stärken Menschen</w:t>
      </w:r>
    </w:p>
    <w:p w14:paraId="3413D825" w14:textId="77777777" w:rsidR="007B6B1B" w:rsidRDefault="007B6B1B" w:rsidP="007B6B1B">
      <w:pPr>
        <w:pStyle w:val="FOText"/>
        <w:spacing w:after="60"/>
      </w:pPr>
      <w:r w:rsidRPr="001F63C8">
        <w:t xml:space="preserve">Wir arbeiten in 14 Ländern in Afrika, Asien und Lateinamerika mit lokalen Partnerorganisationen zusammen. </w:t>
      </w:r>
      <w:r>
        <w:t>Wir stärken</w:t>
      </w:r>
      <w:r w:rsidRPr="001F63C8">
        <w:t xml:space="preserve"> Dorfstrukturen und Gruppierungen, in denen sich Menschen engagieren.</w:t>
      </w:r>
    </w:p>
    <w:p w14:paraId="7857DC27" w14:textId="77777777" w:rsidR="007B6B1B" w:rsidRPr="00780A75" w:rsidRDefault="007B6B1B" w:rsidP="007B6B1B">
      <w:pPr>
        <w:pStyle w:val="FOTitel"/>
        <w:spacing w:before="60"/>
      </w:pPr>
      <w:r w:rsidRPr="001F63C8">
        <w:t>Einsatz für gerechte Strukturen</w:t>
      </w:r>
    </w:p>
    <w:p w14:paraId="5DA5C6C4" w14:textId="77777777" w:rsidR="007B6B1B" w:rsidRPr="00780A75" w:rsidRDefault="007B6B1B" w:rsidP="007B6B1B">
      <w:pPr>
        <w:pStyle w:val="FOText"/>
        <w:spacing w:after="60"/>
      </w:pPr>
      <w:r w:rsidRPr="00780A75">
        <w:t xml:space="preserve">Nebst dem Engagement vor Ort setzen wir uns in der Schweiz und weltweit für gerechte Strukturen, etwa bei Handels- und Wirtschaftsabkommen, ein. </w:t>
      </w:r>
    </w:p>
    <w:p w14:paraId="3BC73E1F" w14:textId="77777777" w:rsidR="007B6B1B" w:rsidRPr="00780A75" w:rsidRDefault="007B6B1B" w:rsidP="007B6B1B">
      <w:pPr>
        <w:pStyle w:val="FOTitel"/>
        <w:spacing w:before="60"/>
      </w:pPr>
      <w:r w:rsidRPr="00780A75">
        <w:t>Wir brauchen Ihre Hilfe</w:t>
      </w:r>
    </w:p>
    <w:p w14:paraId="65A6FAD5" w14:textId="77777777" w:rsidR="007B6B1B" w:rsidRDefault="007B6B1B" w:rsidP="007B6B1B">
      <w:pPr>
        <w:pStyle w:val="FOText"/>
      </w:pPr>
      <w:r>
        <w:t>Mit Ihrer Unterstützung können Menschen, die unter Hunger, Armut und Krieg leiden, selber ihre Lebensbedingungen verbessern.</w:t>
      </w:r>
    </w:p>
    <w:p w14:paraId="75DB1C08" w14:textId="64E9AD5F" w:rsidR="005A47CB" w:rsidRPr="00627690" w:rsidRDefault="007B6B1B" w:rsidP="007B6B1B">
      <w:pPr>
        <w:pStyle w:val="FOTitelSchwarz"/>
        <w:spacing w:before="0"/>
      </w:pPr>
      <w:r w:rsidRPr="00E84448">
        <w:t>Wir danken herzlich für Ihre Spende.</w:t>
      </w:r>
    </w:p>
    <w:sectPr w:rsidR="005A47CB" w:rsidRPr="00627690" w:rsidSect="00511829">
      <w:headerReference w:type="default" r:id="rId10"/>
      <w:footerReference w:type="even" r:id="rId11"/>
      <w:footerReference w:type="default" r:id="rId12"/>
      <w:headerReference w:type="first" r:id="rId13"/>
      <w:footerReference w:type="first" r:id="rId14"/>
      <w:type w:val="continuous"/>
      <w:pgSz w:w="11900" w:h="16840"/>
      <w:pgMar w:top="425" w:right="1418"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72C7" w14:textId="77777777" w:rsidR="007E5132" w:rsidRDefault="007E5132" w:rsidP="009B5E1A">
      <w:r>
        <w:separator/>
      </w:r>
    </w:p>
  </w:endnote>
  <w:endnote w:type="continuationSeparator" w:id="0">
    <w:p w14:paraId="59E2070F" w14:textId="77777777" w:rsidR="007E5132" w:rsidRDefault="007E5132" w:rsidP="009B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ABB8" w14:textId="77777777" w:rsidR="007E5132" w:rsidRDefault="007E5132" w:rsidP="006C6A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F3F39D" w14:textId="77777777" w:rsidR="007E5132" w:rsidRDefault="007E5132" w:rsidP="006C6A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6916" w14:textId="77777777" w:rsidR="007E5132" w:rsidRPr="00FC76FE" w:rsidRDefault="007E5132" w:rsidP="00C67325">
    <w:pPr>
      <w:framePr w:w="9072" w:h="680" w:hRule="exact" w:wrap="around" w:vAnchor="page" w:hAnchor="page" w:x="1419" w:y="15650" w:anchorLock="1"/>
      <w:pBdr>
        <w:top w:val="single" w:sz="4" w:space="10" w:color="FF0000"/>
      </w:pBdr>
      <w:ind w:left="28" w:right="28"/>
      <w:rPr>
        <w:rFonts w:ascii="Arial" w:hAnsi="Arial" w:cs="Arial"/>
        <w:sz w:val="17"/>
        <w:szCs w:val="17"/>
      </w:rPr>
    </w:pPr>
    <w:r w:rsidRPr="00FC76FE">
      <w:rPr>
        <w:rFonts w:ascii="Arial" w:hAnsi="Arial" w:cs="Arial"/>
        <w:sz w:val="17"/>
        <w:szCs w:val="17"/>
      </w:rPr>
      <w:t>Alpenquai 4, Postfach 2856, 6002 Luzern, Tel. +41 (0)41 227 59 28, Fax +41 (0)41 227 59 10</w:t>
    </w:r>
  </w:p>
  <w:p w14:paraId="60023626" w14:textId="77777777" w:rsidR="007E5132" w:rsidRPr="00A75431" w:rsidRDefault="007E5132" w:rsidP="00C67325">
    <w:pPr>
      <w:pStyle w:val="FOFusszeile"/>
      <w:framePr w:w="9072" w:h="680" w:hRule="exact" w:wrap="around" w:vAnchor="page" w:hAnchor="page" w:x="1419" w:y="15650" w:anchorLock="1"/>
      <w:ind w:left="28" w:right="28"/>
      <w:rPr>
        <w:lang w:val="en-US"/>
      </w:rPr>
    </w:pPr>
    <w:r w:rsidRPr="00A75431">
      <w:rPr>
        <w:lang w:val="en-US"/>
      </w:rPr>
      <w:t>projektservice@fastenopfer.ch, www.fastenopfer.ch, Postcheck 60-19191-7</w:t>
    </w:r>
  </w:p>
  <w:p w14:paraId="09878330" w14:textId="0606E7C1" w:rsidR="007E5132" w:rsidRPr="005A0906" w:rsidRDefault="007E5132" w:rsidP="00AE0A8A">
    <w:pPr>
      <w:pStyle w:val="Fuzeile"/>
      <w:ind w:left="28" w:right="28"/>
    </w:pPr>
    <w:r w:rsidRPr="00FC76FE">
      <w:rPr>
        <w:rFonts w:cs="Arial"/>
        <w:noProof/>
        <w:sz w:val="17"/>
        <w:szCs w:val="17"/>
        <w:lang w:val="de-CH" w:eastAsia="de-CH"/>
      </w:rPr>
      <w:drawing>
        <wp:anchor distT="0" distB="0" distL="114300" distR="114300" simplePos="0" relativeHeight="251659264" behindDoc="1" locked="1" layoutInCell="1" allowOverlap="1" wp14:anchorId="51F59D05" wp14:editId="58C48A89">
          <wp:simplePos x="0" y="0"/>
          <wp:positionH relativeFrom="leftMargin">
            <wp:posOffset>323850</wp:posOffset>
          </wp:positionH>
          <wp:positionV relativeFrom="bottomMargin">
            <wp:posOffset>323850</wp:posOffset>
          </wp:positionV>
          <wp:extent cx="370800" cy="396000"/>
          <wp:effectExtent l="0" t="0" r="0" b="4445"/>
          <wp:wrapNone/>
          <wp:docPr id="5" name="Bild 2" descr="01 Server Kreation:_Logos_FSC_GAS_POST_ZEWO:ZEWO-Logos:ZEWO_Logo_def_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Server Kreation:_Logos_FSC_GAS_POST_ZEWO:ZEWO-Logos:ZEWO_Logo_def_sw.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5DC2" w14:textId="4F9029C8" w:rsidR="00A10439" w:rsidRDefault="0099305B" w:rsidP="00E95D38">
    <w:pPr>
      <w:pStyle w:val="FOLegende"/>
      <w:spacing w:before="0"/>
      <w:rPr>
        <w:lang w:val="de-CH"/>
      </w:rPr>
    </w:pPr>
    <w:r>
      <w:rPr>
        <w:lang w:val="de-CH"/>
      </w:rPr>
      <w:t>Indien</w:t>
    </w:r>
    <w:r w:rsidR="00E82506">
      <w:rPr>
        <w:lang w:val="de-CH"/>
      </w:rPr>
      <w:t xml:space="preserve"> 134293</w:t>
    </w:r>
    <w:r w:rsidR="00945198">
      <w:rPr>
        <w:lang w:val="de-CH"/>
      </w:rPr>
      <w:t xml:space="preserve"> Mit eigener Kraft aus Verschuldung und Abhängigkeit</w:t>
    </w:r>
  </w:p>
  <w:p w14:paraId="6EA0E26D" w14:textId="3E0ECD09" w:rsidR="0083670C" w:rsidRPr="00E95D38" w:rsidRDefault="0083670C" w:rsidP="00732DFB">
    <w:pPr>
      <w:pStyle w:val="FOLegende"/>
      <w:spacing w:before="60"/>
      <w:rPr>
        <w:lang w:val="de-CH"/>
      </w:rPr>
    </w:pPr>
    <w:r>
      <w:rPr>
        <w:lang w:val="de-CH"/>
      </w:rPr>
      <w:t>PS: Dieser Text eignet sich auch fürs Pfarrblatt oder die Lokalzeitung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609B" w14:textId="77777777" w:rsidR="007E5132" w:rsidRDefault="007E5132" w:rsidP="009B5E1A">
      <w:r>
        <w:separator/>
      </w:r>
    </w:p>
  </w:footnote>
  <w:footnote w:type="continuationSeparator" w:id="0">
    <w:p w14:paraId="472EA5ED" w14:textId="77777777" w:rsidR="007E5132" w:rsidRDefault="007E5132" w:rsidP="009B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0999" w14:textId="6BC25027" w:rsidR="007E5132" w:rsidRDefault="00E82506" w:rsidP="00A75431">
    <w:pPr>
      <w:pStyle w:val="FOKopfzeile"/>
      <w:tabs>
        <w:tab w:val="clear" w:pos="8647"/>
        <w:tab w:val="right" w:pos="9044"/>
      </w:tabs>
      <w:ind w:left="28" w:right="28"/>
    </w:pPr>
    <w:r>
      <w:rPr>
        <w:noProof/>
      </w:rPr>
      <w:t>Landesprogramm</w:t>
    </w:r>
    <w:r w:rsidR="00E80CFA">
      <w:rPr>
        <w:noProof/>
      </w:rPr>
      <w:t xml:space="preserve"> Indien</w:t>
    </w:r>
    <w:r w:rsidR="007E5132">
      <w:rPr>
        <w:noProof/>
      </w:rPr>
      <w:tab/>
      <w:t xml:space="preserve"> </w:t>
    </w:r>
    <w:r w:rsidR="007E5132">
      <w:rPr>
        <w:noProof/>
        <w:lang w:val="de-CH" w:eastAsia="de-CH"/>
      </w:rPr>
      <w:drawing>
        <wp:inline distT="0" distB="0" distL="0" distR="0" wp14:anchorId="724B7DB0" wp14:editId="1D15B4F3">
          <wp:extent cx="631190" cy="605155"/>
          <wp:effectExtent l="0" t="0" r="3810" b="444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051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2464" w14:textId="467A7650" w:rsidR="007E5132" w:rsidRPr="004138C2" w:rsidRDefault="00E82506" w:rsidP="00511829">
    <w:pPr>
      <w:pStyle w:val="FOKopfzeile"/>
      <w:tabs>
        <w:tab w:val="clear" w:pos="8647"/>
        <w:tab w:val="right" w:pos="9044"/>
      </w:tabs>
      <w:ind w:left="28" w:right="28"/>
    </w:pPr>
    <w:r>
      <w:rPr>
        <w:noProof/>
      </w:rPr>
      <w:t>Landesprogramm</w:t>
    </w:r>
    <w:r w:rsidR="007E5132">
      <w:rPr>
        <w:noProof/>
      </w:rPr>
      <w:t xml:space="preserve"> </w:t>
    </w:r>
    <w:r w:rsidR="00E80CFA">
      <w:rPr>
        <w:noProof/>
      </w:rPr>
      <w:t>Indien</w:t>
    </w:r>
    <w:r w:rsidR="007E5132">
      <w:rPr>
        <w:noProof/>
      </w:rPr>
      <w:tab/>
      <w:t xml:space="preserve"> </w:t>
    </w:r>
    <w:r w:rsidR="007E5132">
      <w:rPr>
        <w:noProof/>
        <w:lang w:val="de-CH" w:eastAsia="de-CH"/>
      </w:rPr>
      <w:drawing>
        <wp:inline distT="0" distB="0" distL="0" distR="0" wp14:anchorId="4018ED08" wp14:editId="174A1471">
          <wp:extent cx="631190" cy="605155"/>
          <wp:effectExtent l="0" t="0" r="3810" b="4445"/>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05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CC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479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D010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CCF0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1846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F6F3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4A2B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5CB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B68B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5030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EAB1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E20F2B"/>
    <w:multiLevelType w:val="hybridMultilevel"/>
    <w:tmpl w:val="1C100C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8C96531"/>
    <w:multiLevelType w:val="hybridMultilevel"/>
    <w:tmpl w:val="9F3ADD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9"/>
  <w:autoHyphenation/>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1A"/>
    <w:rsid w:val="000723FA"/>
    <w:rsid w:val="0008097C"/>
    <w:rsid w:val="00083C55"/>
    <w:rsid w:val="000919D2"/>
    <w:rsid w:val="0009527C"/>
    <w:rsid w:val="000A17C9"/>
    <w:rsid w:val="001244F2"/>
    <w:rsid w:val="001311B9"/>
    <w:rsid w:val="00132A03"/>
    <w:rsid w:val="00194397"/>
    <w:rsid w:val="001D4BF0"/>
    <w:rsid w:val="001F2BCE"/>
    <w:rsid w:val="002171C6"/>
    <w:rsid w:val="002A5FD2"/>
    <w:rsid w:val="002C742E"/>
    <w:rsid w:val="002D01F9"/>
    <w:rsid w:val="0031278D"/>
    <w:rsid w:val="00324DDD"/>
    <w:rsid w:val="00326379"/>
    <w:rsid w:val="00333B0B"/>
    <w:rsid w:val="00353060"/>
    <w:rsid w:val="00362A16"/>
    <w:rsid w:val="003654D8"/>
    <w:rsid w:val="00366BBD"/>
    <w:rsid w:val="003A3FF1"/>
    <w:rsid w:val="003C1E33"/>
    <w:rsid w:val="003C47E7"/>
    <w:rsid w:val="003E01CF"/>
    <w:rsid w:val="00402043"/>
    <w:rsid w:val="00411F95"/>
    <w:rsid w:val="004138C2"/>
    <w:rsid w:val="0041690E"/>
    <w:rsid w:val="004454FB"/>
    <w:rsid w:val="004E66AD"/>
    <w:rsid w:val="004E7EA3"/>
    <w:rsid w:val="00511829"/>
    <w:rsid w:val="005457B0"/>
    <w:rsid w:val="00550D6A"/>
    <w:rsid w:val="00561444"/>
    <w:rsid w:val="00583A5A"/>
    <w:rsid w:val="005848D7"/>
    <w:rsid w:val="00586598"/>
    <w:rsid w:val="005A0906"/>
    <w:rsid w:val="005A47CB"/>
    <w:rsid w:val="005C7ABD"/>
    <w:rsid w:val="005D2A31"/>
    <w:rsid w:val="005D5BDB"/>
    <w:rsid w:val="005F686E"/>
    <w:rsid w:val="0060223C"/>
    <w:rsid w:val="00627690"/>
    <w:rsid w:val="006376E5"/>
    <w:rsid w:val="0066651C"/>
    <w:rsid w:val="006C6A0C"/>
    <w:rsid w:val="007271E0"/>
    <w:rsid w:val="00732DFB"/>
    <w:rsid w:val="007360A5"/>
    <w:rsid w:val="0076696A"/>
    <w:rsid w:val="00796D32"/>
    <w:rsid w:val="007B6B1B"/>
    <w:rsid w:val="007C0A24"/>
    <w:rsid w:val="007C17F5"/>
    <w:rsid w:val="007E5132"/>
    <w:rsid w:val="008205DE"/>
    <w:rsid w:val="0083670C"/>
    <w:rsid w:val="00857733"/>
    <w:rsid w:val="00883CB4"/>
    <w:rsid w:val="0088557C"/>
    <w:rsid w:val="0089604A"/>
    <w:rsid w:val="008A02B7"/>
    <w:rsid w:val="008A5A6A"/>
    <w:rsid w:val="008A6D67"/>
    <w:rsid w:val="008B2127"/>
    <w:rsid w:val="008B5A2B"/>
    <w:rsid w:val="008C170B"/>
    <w:rsid w:val="008C31BF"/>
    <w:rsid w:val="008C6439"/>
    <w:rsid w:val="008D1872"/>
    <w:rsid w:val="008D4112"/>
    <w:rsid w:val="008E2CFC"/>
    <w:rsid w:val="008E2D72"/>
    <w:rsid w:val="00903ECA"/>
    <w:rsid w:val="0093067D"/>
    <w:rsid w:val="00945198"/>
    <w:rsid w:val="00966525"/>
    <w:rsid w:val="0099305B"/>
    <w:rsid w:val="009A5F02"/>
    <w:rsid w:val="009B5E1A"/>
    <w:rsid w:val="009C03E6"/>
    <w:rsid w:val="009F7D4B"/>
    <w:rsid w:val="00A10439"/>
    <w:rsid w:val="00A44DBD"/>
    <w:rsid w:val="00A462D8"/>
    <w:rsid w:val="00A613BC"/>
    <w:rsid w:val="00A75431"/>
    <w:rsid w:val="00AC024A"/>
    <w:rsid w:val="00AE0A8A"/>
    <w:rsid w:val="00AE341E"/>
    <w:rsid w:val="00B073B8"/>
    <w:rsid w:val="00B07FD5"/>
    <w:rsid w:val="00B12979"/>
    <w:rsid w:val="00B919C7"/>
    <w:rsid w:val="00B926D4"/>
    <w:rsid w:val="00BA48D7"/>
    <w:rsid w:val="00BC489D"/>
    <w:rsid w:val="00BC611D"/>
    <w:rsid w:val="00BE0548"/>
    <w:rsid w:val="00BE777B"/>
    <w:rsid w:val="00C67325"/>
    <w:rsid w:val="00C81F4C"/>
    <w:rsid w:val="00CA0A3A"/>
    <w:rsid w:val="00CA5614"/>
    <w:rsid w:val="00CB0801"/>
    <w:rsid w:val="00CD4F67"/>
    <w:rsid w:val="00CF3B63"/>
    <w:rsid w:val="00CF7873"/>
    <w:rsid w:val="00D04F74"/>
    <w:rsid w:val="00D35C6E"/>
    <w:rsid w:val="00D56844"/>
    <w:rsid w:val="00DD2A64"/>
    <w:rsid w:val="00DD6ED6"/>
    <w:rsid w:val="00DE115B"/>
    <w:rsid w:val="00E13F27"/>
    <w:rsid w:val="00E168B4"/>
    <w:rsid w:val="00E80CFA"/>
    <w:rsid w:val="00E82506"/>
    <w:rsid w:val="00E95267"/>
    <w:rsid w:val="00E95D38"/>
    <w:rsid w:val="00EA432F"/>
    <w:rsid w:val="00ED6C28"/>
    <w:rsid w:val="00EE6832"/>
    <w:rsid w:val="00F073D7"/>
    <w:rsid w:val="00F35599"/>
    <w:rsid w:val="00F363C9"/>
    <w:rsid w:val="00F51516"/>
    <w:rsid w:val="00F5590D"/>
    <w:rsid w:val="00F627C9"/>
    <w:rsid w:val="00F71863"/>
    <w:rsid w:val="00FA5B23"/>
    <w:rsid w:val="00FF1ABE"/>
    <w:rsid w:val="00FF558B"/>
    <w:rsid w:val="00FF75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785A5EA6"/>
  <w14:defaultImageDpi w14:val="300"/>
  <w15:docId w15:val="{692D934C-44CF-4030-847B-260D8FFD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B5E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B5E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B5E1A"/>
    <w:rPr>
      <w:rFonts w:asciiTheme="majorHAnsi" w:eastAsiaTheme="majorEastAsia" w:hAnsiTheme="majorHAnsi" w:cstheme="majorBidi"/>
      <w:color w:val="17365D" w:themeColor="text2" w:themeShade="BF"/>
      <w:spacing w:val="5"/>
      <w:kern w:val="28"/>
      <w:sz w:val="52"/>
      <w:szCs w:val="52"/>
    </w:rPr>
  </w:style>
  <w:style w:type="table" w:customStyle="1" w:styleId="prova">
    <w:name w:val="prova"/>
    <w:basedOn w:val="NormaleTabelle"/>
    <w:uiPriority w:val="99"/>
    <w:rsid w:val="009B5E1A"/>
    <w:rPr>
      <w:rFonts w:ascii="Arial" w:hAnsi="Arial"/>
      <w:sz w:val="19"/>
    </w:rPr>
    <w:tblPr>
      <w:tblStyleRowBandSize w:val="1"/>
      <w:tblBorders>
        <w:insideH w:val="single" w:sz="4" w:space="0" w:color="FF0000"/>
      </w:tblBorders>
    </w:tblPr>
    <w:tblStylePr w:type="band2Horz">
      <w:pPr>
        <w:jc w:val="left"/>
      </w:pPr>
      <w:rPr>
        <w:rFonts w:ascii="Arial" w:hAnsi="Arial"/>
        <w:sz w:val="18"/>
      </w:rPr>
      <w:tblPr/>
      <w:tcPr>
        <w:vAlign w:val="center"/>
      </w:tcPr>
    </w:tblStylePr>
  </w:style>
  <w:style w:type="paragraph" w:styleId="Kopfzeile">
    <w:name w:val="header"/>
    <w:basedOn w:val="Standard"/>
    <w:link w:val="KopfzeileZchn"/>
    <w:uiPriority w:val="99"/>
    <w:unhideWhenUsed/>
    <w:rsid w:val="009B5E1A"/>
    <w:pPr>
      <w:tabs>
        <w:tab w:val="center" w:pos="4536"/>
        <w:tab w:val="right" w:pos="9072"/>
      </w:tabs>
    </w:pPr>
  </w:style>
  <w:style w:type="character" w:customStyle="1" w:styleId="KopfzeileZchn">
    <w:name w:val="Kopfzeile Zchn"/>
    <w:basedOn w:val="Absatz-Standardschriftart"/>
    <w:link w:val="Kopfzeile"/>
    <w:uiPriority w:val="99"/>
    <w:rsid w:val="009B5E1A"/>
  </w:style>
  <w:style w:type="paragraph" w:styleId="Fuzeile">
    <w:name w:val="footer"/>
    <w:basedOn w:val="Standard"/>
    <w:link w:val="FuzeileZchn"/>
    <w:uiPriority w:val="99"/>
    <w:unhideWhenUsed/>
    <w:rsid w:val="009B5E1A"/>
    <w:pPr>
      <w:tabs>
        <w:tab w:val="center" w:pos="4536"/>
        <w:tab w:val="right" w:pos="9072"/>
      </w:tabs>
    </w:pPr>
  </w:style>
  <w:style w:type="character" w:customStyle="1" w:styleId="FuzeileZchn">
    <w:name w:val="Fußzeile Zchn"/>
    <w:basedOn w:val="Absatz-Standardschriftart"/>
    <w:link w:val="Fuzeile"/>
    <w:uiPriority w:val="99"/>
    <w:rsid w:val="009B5E1A"/>
  </w:style>
  <w:style w:type="character" w:customStyle="1" w:styleId="berschrift1Zchn">
    <w:name w:val="Überschrift 1 Zchn"/>
    <w:basedOn w:val="Absatz-Standardschriftart"/>
    <w:link w:val="berschrift1"/>
    <w:uiPriority w:val="9"/>
    <w:rsid w:val="009B5E1A"/>
    <w:rPr>
      <w:rFonts w:asciiTheme="majorHAnsi" w:eastAsiaTheme="majorEastAsia" w:hAnsiTheme="majorHAnsi" w:cstheme="majorBidi"/>
      <w:b/>
      <w:bCs/>
      <w:color w:val="345A8A" w:themeColor="accent1" w:themeShade="B5"/>
      <w:sz w:val="32"/>
      <w:szCs w:val="32"/>
    </w:rPr>
  </w:style>
  <w:style w:type="paragraph" w:customStyle="1" w:styleId="FOKopfzeile">
    <w:name w:val="FO Kopfzeile"/>
    <w:qFormat/>
    <w:rsid w:val="002C742E"/>
    <w:pPr>
      <w:pBdr>
        <w:bottom w:val="single" w:sz="4" w:space="10" w:color="FF0000"/>
      </w:pBdr>
      <w:tabs>
        <w:tab w:val="right" w:pos="8647"/>
      </w:tabs>
      <w:spacing w:after="280"/>
    </w:pPr>
    <w:rPr>
      <w:rFonts w:ascii="Arial" w:eastAsiaTheme="majorEastAsia" w:hAnsi="Arial" w:cstheme="majorBidi"/>
      <w:color w:val="7E7E7E"/>
      <w:sz w:val="52"/>
      <w:szCs w:val="52"/>
      <w:u w:color="FF0000"/>
    </w:rPr>
  </w:style>
  <w:style w:type="paragraph" w:styleId="Sprechblasentext">
    <w:name w:val="Balloon Text"/>
    <w:basedOn w:val="Standard"/>
    <w:link w:val="SprechblasentextZchn"/>
    <w:uiPriority w:val="99"/>
    <w:semiHidden/>
    <w:unhideWhenUsed/>
    <w:rsid w:val="005D2A3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D2A31"/>
    <w:rPr>
      <w:rFonts w:ascii="Lucida Grande" w:hAnsi="Lucida Grande" w:cs="Lucida Grande"/>
      <w:sz w:val="18"/>
      <w:szCs w:val="18"/>
    </w:rPr>
  </w:style>
  <w:style w:type="paragraph" w:customStyle="1" w:styleId="UntertitelArialBold1014rot">
    <w:name w:val="Untertitel Arial Bold 10/14 rot"/>
    <w:basedOn w:val="Standard"/>
    <w:uiPriority w:val="99"/>
    <w:rsid w:val="00BE0548"/>
    <w:pPr>
      <w:widowControl w:val="0"/>
      <w:suppressAutoHyphens/>
      <w:autoSpaceDE w:val="0"/>
      <w:autoSpaceDN w:val="0"/>
      <w:adjustRightInd w:val="0"/>
      <w:spacing w:line="280" w:lineRule="atLeast"/>
      <w:textAlignment w:val="center"/>
    </w:pPr>
    <w:rPr>
      <w:rFonts w:ascii="Arial-BoldMT" w:hAnsi="Arial-BoldMT" w:cs="Arial-BoldMT"/>
      <w:b/>
      <w:bCs/>
      <w:color w:val="FF0000"/>
      <w:w w:val="98"/>
      <w:sz w:val="20"/>
      <w:szCs w:val="20"/>
    </w:rPr>
  </w:style>
  <w:style w:type="paragraph" w:customStyle="1" w:styleId="TabelleFliesstextArialRegular9105">
    <w:name w:val="Tabelle Fliesstext Arial Regular 9/10.5"/>
    <w:basedOn w:val="Standard"/>
    <w:uiPriority w:val="99"/>
    <w:rsid w:val="00BE0548"/>
    <w:pPr>
      <w:widowControl w:val="0"/>
      <w:autoSpaceDE w:val="0"/>
      <w:autoSpaceDN w:val="0"/>
      <w:adjustRightInd w:val="0"/>
      <w:spacing w:line="210" w:lineRule="atLeast"/>
      <w:textAlignment w:val="center"/>
    </w:pPr>
    <w:rPr>
      <w:rFonts w:ascii="Arial-BoldMT" w:hAnsi="Arial-BoldMT" w:cs="Times New Roman"/>
      <w:color w:val="000000"/>
      <w:w w:val="98"/>
      <w:sz w:val="18"/>
      <w:szCs w:val="18"/>
    </w:rPr>
  </w:style>
  <w:style w:type="character" w:customStyle="1" w:styleId="bold">
    <w:name w:val="bold"/>
    <w:uiPriority w:val="99"/>
    <w:rsid w:val="00BE0548"/>
    <w:rPr>
      <w:rFonts w:ascii="Arial-BoldMT" w:hAnsi="Arial-BoldMT" w:cs="Arial-BoldMT"/>
      <w:b/>
      <w:bCs/>
    </w:rPr>
  </w:style>
  <w:style w:type="paragraph" w:customStyle="1" w:styleId="FOTitel">
    <w:name w:val="FO Titel"/>
    <w:qFormat/>
    <w:rsid w:val="005A47CB"/>
    <w:pPr>
      <w:spacing w:before="280"/>
    </w:pPr>
    <w:rPr>
      <w:rFonts w:ascii="Arial" w:hAnsi="Arial" w:cs="Arial-BoldMT"/>
      <w:b/>
      <w:bCs/>
      <w:color w:val="FF0000"/>
      <w:w w:val="98"/>
      <w:sz w:val="20"/>
      <w:szCs w:val="20"/>
    </w:rPr>
  </w:style>
  <w:style w:type="paragraph" w:customStyle="1" w:styleId="FOTitelSchwarz">
    <w:name w:val="FO Titel Schwarz"/>
    <w:basedOn w:val="FOTitel"/>
    <w:qFormat/>
    <w:rsid w:val="003E01CF"/>
    <w:rPr>
      <w:color w:val="auto"/>
    </w:rPr>
  </w:style>
  <w:style w:type="character" w:styleId="Seitenzahl">
    <w:name w:val="page number"/>
    <w:basedOn w:val="Absatz-Standardschriftart"/>
    <w:uiPriority w:val="99"/>
    <w:semiHidden/>
    <w:unhideWhenUsed/>
    <w:rsid w:val="006C6A0C"/>
  </w:style>
  <w:style w:type="paragraph" w:customStyle="1" w:styleId="FOFusszeile">
    <w:name w:val="FO Fusszeile"/>
    <w:basedOn w:val="Fuzeile"/>
    <w:qFormat/>
    <w:rsid w:val="00CD4F67"/>
    <w:pPr>
      <w:framePr w:wrap="around" w:vAnchor="text" w:hAnchor="margin" w:xAlign="right" w:y="1"/>
      <w:pBdr>
        <w:top w:val="single" w:sz="4" w:space="10" w:color="FF0000"/>
      </w:pBdr>
      <w:tabs>
        <w:tab w:val="clear" w:pos="4536"/>
      </w:tabs>
    </w:pPr>
    <w:rPr>
      <w:rFonts w:ascii="Arial" w:hAnsi="Arial" w:cs="Arial"/>
      <w:sz w:val="17"/>
      <w:szCs w:val="17"/>
    </w:rPr>
  </w:style>
  <w:style w:type="paragraph" w:customStyle="1" w:styleId="TitelArialBold13175">
    <w:name w:val="Titel Arial Bold 13/17.5"/>
    <w:basedOn w:val="Standard"/>
    <w:uiPriority w:val="99"/>
    <w:rsid w:val="00AE341E"/>
    <w:pPr>
      <w:widowControl w:val="0"/>
      <w:suppressAutoHyphens/>
      <w:autoSpaceDE w:val="0"/>
      <w:autoSpaceDN w:val="0"/>
      <w:adjustRightInd w:val="0"/>
      <w:spacing w:line="350" w:lineRule="atLeast"/>
      <w:textAlignment w:val="center"/>
    </w:pPr>
    <w:rPr>
      <w:rFonts w:ascii="Arial-BoldMT" w:hAnsi="Arial-BoldMT" w:cs="Arial-BoldMT"/>
      <w:b/>
      <w:bCs/>
      <w:color w:val="FF0000"/>
      <w:w w:val="98"/>
      <w:sz w:val="26"/>
      <w:szCs w:val="26"/>
    </w:rPr>
  </w:style>
  <w:style w:type="table" w:customStyle="1" w:styleId="FOTabelle">
    <w:name w:val="FO Tabelle"/>
    <w:basedOn w:val="Tabellenraster"/>
    <w:uiPriority w:val="99"/>
    <w:rsid w:val="0076696A"/>
    <w:pPr>
      <w:spacing w:before="30" w:after="30"/>
      <w:jc w:val="right"/>
    </w:pPr>
    <w:rPr>
      <w:rFonts w:ascii="Arial" w:hAnsi="Arial"/>
      <w:sz w:val="19"/>
    </w:rPr>
    <w:tblPr>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CellMar>
        <w:left w:w="0" w:type="dxa"/>
        <w:right w:w="0" w:type="dxa"/>
      </w:tblCellMar>
    </w:tblPr>
    <w:tcPr>
      <w:shd w:val="clear" w:color="auto" w:fill="auto"/>
      <w:vAlign w:val="center"/>
    </w:tcPr>
    <w:tblStylePr w:type="firstRow">
      <w:rPr>
        <w:rFonts w:ascii="Arial" w:hAnsi="Arial"/>
        <w:b/>
        <w:sz w:val="18"/>
      </w:rPr>
    </w:tblStylePr>
    <w:tblStylePr w:type="firstCol">
      <w:pPr>
        <w:jc w:val="left"/>
      </w:pPr>
      <w:rPr>
        <w:rFonts w:ascii="Arial" w:hAnsi="Arial"/>
        <w:sz w:val="19"/>
      </w:rPr>
    </w:tblStylePr>
  </w:style>
  <w:style w:type="paragraph" w:customStyle="1" w:styleId="FOHeadlineGrau">
    <w:name w:val="FO Headline Grau"/>
    <w:next w:val="Standard"/>
    <w:qFormat/>
    <w:rsid w:val="0031278D"/>
    <w:pPr>
      <w:keepNext/>
      <w:spacing w:after="280"/>
    </w:pPr>
    <w:rPr>
      <w:rFonts w:ascii="Arial" w:hAnsi="Arial" w:cs="ArialMT"/>
      <w:bCs/>
      <w:color w:val="7E7E7E"/>
      <w:w w:val="98"/>
      <w:sz w:val="52"/>
      <w:szCs w:val="52"/>
    </w:rPr>
  </w:style>
  <w:style w:type="paragraph" w:customStyle="1" w:styleId="FliesstextArialRegular1014">
    <w:name w:val="Fliesstext Arial Regular 10/14"/>
    <w:basedOn w:val="Standard"/>
    <w:uiPriority w:val="99"/>
    <w:rsid w:val="00BA48D7"/>
    <w:pPr>
      <w:widowControl w:val="0"/>
      <w:autoSpaceDE w:val="0"/>
      <w:autoSpaceDN w:val="0"/>
      <w:adjustRightInd w:val="0"/>
      <w:spacing w:line="280" w:lineRule="atLeast"/>
      <w:textAlignment w:val="center"/>
    </w:pPr>
    <w:rPr>
      <w:rFonts w:ascii="ArialMT" w:hAnsi="ArialMT" w:cs="ArialMT"/>
      <w:color w:val="000000"/>
      <w:w w:val="98"/>
      <w:sz w:val="20"/>
      <w:szCs w:val="20"/>
    </w:rPr>
  </w:style>
  <w:style w:type="paragraph" w:customStyle="1" w:styleId="FOBilder">
    <w:name w:val="FO Bilder"/>
    <w:qFormat/>
    <w:rsid w:val="008A02B7"/>
    <w:pPr>
      <w:spacing w:after="280"/>
    </w:pPr>
    <w:rPr>
      <w:rFonts w:ascii="Arial" w:hAnsi="Arial" w:cs="Arial-BoldMT"/>
      <w:bCs/>
      <w:noProof/>
      <w:w w:val="98"/>
      <w:sz w:val="20"/>
      <w:szCs w:val="20"/>
    </w:rPr>
  </w:style>
  <w:style w:type="paragraph" w:customStyle="1" w:styleId="FOText">
    <w:name w:val="FO Text"/>
    <w:qFormat/>
    <w:rsid w:val="003E01CF"/>
    <w:pPr>
      <w:spacing w:after="280" w:line="288" w:lineRule="auto"/>
    </w:pPr>
    <w:rPr>
      <w:rFonts w:ascii="Arial" w:hAnsi="Arial" w:cs="Arial-BoldMT"/>
      <w:bCs/>
      <w:w w:val="98"/>
      <w:sz w:val="20"/>
      <w:szCs w:val="20"/>
    </w:rPr>
  </w:style>
  <w:style w:type="paragraph" w:customStyle="1" w:styleId="LegendeArialRegular8105">
    <w:name w:val="Legende Arial Regular 8/10.5"/>
    <w:basedOn w:val="FliesstextArialRegular1014"/>
    <w:uiPriority w:val="99"/>
    <w:rsid w:val="008D4112"/>
    <w:pPr>
      <w:spacing w:line="210" w:lineRule="atLeast"/>
    </w:pPr>
    <w:rPr>
      <w:sz w:val="16"/>
      <w:szCs w:val="16"/>
    </w:rPr>
  </w:style>
  <w:style w:type="paragraph" w:customStyle="1" w:styleId="FOLegende">
    <w:name w:val="FO Legende"/>
    <w:qFormat/>
    <w:rsid w:val="0009527C"/>
    <w:pPr>
      <w:spacing w:before="280"/>
    </w:pPr>
    <w:rPr>
      <w:rFonts w:ascii="Arial" w:hAnsi="Arial" w:cs="ArialMT"/>
      <w:color w:val="000000"/>
      <w:w w:val="98"/>
      <w:sz w:val="16"/>
      <w:szCs w:val="16"/>
    </w:rPr>
  </w:style>
  <w:style w:type="character" w:customStyle="1" w:styleId="FOHeadlineRot">
    <w:name w:val="FO Headline Rot"/>
    <w:basedOn w:val="Absatz-Standardschriftart"/>
    <w:uiPriority w:val="1"/>
    <w:qFormat/>
    <w:rsid w:val="008D4112"/>
    <w:rPr>
      <w:rFonts w:ascii="Arial" w:hAnsi="Arial"/>
      <w:color w:val="FF0000"/>
      <w:sz w:val="52"/>
    </w:rPr>
  </w:style>
  <w:style w:type="paragraph" w:customStyle="1" w:styleId="KeinAbsatzformat">
    <w:name w:val="[Kein Absatzformat]"/>
    <w:rsid w:val="00F35599"/>
    <w:pPr>
      <w:widowControl w:val="0"/>
      <w:autoSpaceDE w:val="0"/>
      <w:autoSpaceDN w:val="0"/>
      <w:adjustRightInd w:val="0"/>
      <w:spacing w:line="288" w:lineRule="auto"/>
      <w:textAlignment w:val="center"/>
    </w:pPr>
    <w:rPr>
      <w:rFonts w:ascii="Arial-BoldMT" w:hAnsi="Arial-BoldMT" w:cs="Times New Roman"/>
      <w:color w:val="000000"/>
    </w:rPr>
  </w:style>
  <w:style w:type="paragraph" w:customStyle="1" w:styleId="FOTabelle2">
    <w:name w:val="FO Tabelle 2"/>
    <w:basedOn w:val="Standard"/>
    <w:qFormat/>
    <w:rsid w:val="00402043"/>
    <w:pPr>
      <w:widowControl w:val="0"/>
      <w:autoSpaceDE w:val="0"/>
      <w:autoSpaceDN w:val="0"/>
      <w:adjustRightInd w:val="0"/>
    </w:pPr>
    <w:rPr>
      <w:rFonts w:ascii="Arial" w:hAnsi="Arial" w:cs="Times New Roman"/>
      <w:b/>
      <w:w w:val="98"/>
      <w:sz w:val="19"/>
    </w:rPr>
  </w:style>
  <w:style w:type="table" w:customStyle="1" w:styleId="FOTabelle3">
    <w:name w:val="FO Tabelle 3"/>
    <w:basedOn w:val="NormaleTabelle"/>
    <w:uiPriority w:val="99"/>
    <w:rsid w:val="00F35599"/>
    <w:rPr>
      <w:rFonts w:ascii="Arial" w:hAnsi="Arial"/>
      <w:sz w:val="19"/>
    </w:rPr>
    <w:tblPr/>
  </w:style>
  <w:style w:type="table" w:customStyle="1" w:styleId="FOTabelle4">
    <w:name w:val="FO Tabelle 4"/>
    <w:basedOn w:val="NormaleTabelle"/>
    <w:uiPriority w:val="99"/>
    <w:rsid w:val="00F35599"/>
    <w:rPr>
      <w:rFonts w:ascii="Arial" w:hAnsi="Arial"/>
    </w:rPr>
    <w:tblPr/>
  </w:style>
  <w:style w:type="paragraph" w:styleId="KeinLeerraum">
    <w:name w:val="No Spacing"/>
    <w:uiPriority w:val="1"/>
    <w:qFormat/>
    <w:rsid w:val="002C742E"/>
  </w:style>
  <w:style w:type="paragraph" w:styleId="Verzeichnis1">
    <w:name w:val="toc 1"/>
    <w:basedOn w:val="Standard"/>
    <w:next w:val="Standard"/>
    <w:autoRedefine/>
    <w:uiPriority w:val="39"/>
    <w:unhideWhenUsed/>
    <w:rsid w:val="0066651C"/>
    <w:pPr>
      <w:spacing w:before="120"/>
    </w:pPr>
    <w:rPr>
      <w:b/>
      <w:sz w:val="22"/>
      <w:szCs w:val="22"/>
    </w:rPr>
  </w:style>
  <w:style w:type="paragraph" w:styleId="Verzeichnis2">
    <w:name w:val="toc 2"/>
    <w:basedOn w:val="Standard"/>
    <w:next w:val="Standard"/>
    <w:autoRedefine/>
    <w:uiPriority w:val="39"/>
    <w:unhideWhenUsed/>
    <w:rsid w:val="0066651C"/>
    <w:pPr>
      <w:ind w:left="240"/>
    </w:pPr>
    <w:rPr>
      <w:i/>
      <w:sz w:val="22"/>
      <w:szCs w:val="22"/>
    </w:rPr>
  </w:style>
  <w:style w:type="paragraph" w:styleId="Verzeichnis3">
    <w:name w:val="toc 3"/>
    <w:basedOn w:val="Standard"/>
    <w:next w:val="Standard"/>
    <w:autoRedefine/>
    <w:uiPriority w:val="39"/>
    <w:unhideWhenUsed/>
    <w:rsid w:val="0066651C"/>
    <w:pPr>
      <w:ind w:left="480"/>
    </w:pPr>
    <w:rPr>
      <w:sz w:val="22"/>
      <w:szCs w:val="22"/>
    </w:rPr>
  </w:style>
  <w:style w:type="paragraph" w:styleId="Verzeichnis4">
    <w:name w:val="toc 4"/>
    <w:basedOn w:val="Standard"/>
    <w:next w:val="Standard"/>
    <w:autoRedefine/>
    <w:uiPriority w:val="39"/>
    <w:unhideWhenUsed/>
    <w:rsid w:val="0066651C"/>
    <w:pPr>
      <w:ind w:left="720"/>
    </w:pPr>
    <w:rPr>
      <w:sz w:val="20"/>
      <w:szCs w:val="20"/>
    </w:rPr>
  </w:style>
  <w:style w:type="paragraph" w:styleId="Verzeichnis5">
    <w:name w:val="toc 5"/>
    <w:basedOn w:val="Standard"/>
    <w:next w:val="Standard"/>
    <w:autoRedefine/>
    <w:uiPriority w:val="39"/>
    <w:unhideWhenUsed/>
    <w:rsid w:val="0066651C"/>
    <w:pPr>
      <w:ind w:left="960"/>
    </w:pPr>
    <w:rPr>
      <w:sz w:val="20"/>
      <w:szCs w:val="20"/>
    </w:rPr>
  </w:style>
  <w:style w:type="paragraph" w:styleId="Verzeichnis6">
    <w:name w:val="toc 6"/>
    <w:basedOn w:val="Standard"/>
    <w:next w:val="Standard"/>
    <w:autoRedefine/>
    <w:uiPriority w:val="39"/>
    <w:unhideWhenUsed/>
    <w:rsid w:val="0066651C"/>
    <w:pPr>
      <w:ind w:left="1200"/>
    </w:pPr>
    <w:rPr>
      <w:sz w:val="20"/>
      <w:szCs w:val="20"/>
    </w:rPr>
  </w:style>
  <w:style w:type="paragraph" w:styleId="Verzeichnis7">
    <w:name w:val="toc 7"/>
    <w:basedOn w:val="Standard"/>
    <w:next w:val="Standard"/>
    <w:autoRedefine/>
    <w:uiPriority w:val="39"/>
    <w:unhideWhenUsed/>
    <w:rsid w:val="0066651C"/>
    <w:pPr>
      <w:ind w:left="1440"/>
    </w:pPr>
    <w:rPr>
      <w:sz w:val="20"/>
      <w:szCs w:val="20"/>
    </w:rPr>
  </w:style>
  <w:style w:type="paragraph" w:styleId="Verzeichnis8">
    <w:name w:val="toc 8"/>
    <w:basedOn w:val="Standard"/>
    <w:next w:val="Standard"/>
    <w:autoRedefine/>
    <w:uiPriority w:val="39"/>
    <w:unhideWhenUsed/>
    <w:rsid w:val="0066651C"/>
    <w:pPr>
      <w:ind w:left="1680"/>
    </w:pPr>
    <w:rPr>
      <w:sz w:val="20"/>
      <w:szCs w:val="20"/>
    </w:rPr>
  </w:style>
  <w:style w:type="paragraph" w:styleId="Verzeichnis9">
    <w:name w:val="toc 9"/>
    <w:basedOn w:val="Standard"/>
    <w:next w:val="Standard"/>
    <w:autoRedefine/>
    <w:uiPriority w:val="39"/>
    <w:unhideWhenUsed/>
    <w:rsid w:val="0066651C"/>
    <w:pPr>
      <w:ind w:left="1920"/>
    </w:pPr>
    <w:rPr>
      <w:sz w:val="20"/>
      <w:szCs w:val="20"/>
    </w:rPr>
  </w:style>
  <w:style w:type="paragraph" w:customStyle="1" w:styleId="FOInhaltsverzeichnis">
    <w:name w:val="FO Inhaltsverzeichnis"/>
    <w:next w:val="KeinAbsatzformat"/>
    <w:qFormat/>
    <w:rsid w:val="008C6439"/>
    <w:pPr>
      <w:tabs>
        <w:tab w:val="right" w:pos="9056"/>
      </w:tabs>
      <w:spacing w:line="360" w:lineRule="auto"/>
    </w:pPr>
    <w:rPr>
      <w:rFonts w:ascii="Arial" w:hAnsi="Arial"/>
      <w:b/>
      <w:bCs/>
      <w:noProof/>
      <w:color w:val="000000" w:themeColor="text1"/>
      <w:sz w:val="18"/>
      <w:szCs w:val="18"/>
      <w:u w:val="single"/>
    </w:rPr>
  </w:style>
  <w:style w:type="paragraph" w:customStyle="1" w:styleId="FOSubline">
    <w:name w:val="FO Subline"/>
    <w:qFormat/>
    <w:rsid w:val="00B073B8"/>
    <w:pPr>
      <w:spacing w:before="280" w:after="280"/>
    </w:pPr>
    <w:rPr>
      <w:rFonts w:ascii="Arial" w:hAnsi="Arial" w:cs="Arial-BoldMT"/>
      <w:b/>
      <w:bCs/>
      <w:color w:val="FF0000"/>
      <w:w w:val="98"/>
      <w:sz w:val="26"/>
      <w:szCs w:val="26"/>
    </w:rPr>
  </w:style>
  <w:style w:type="paragraph" w:customStyle="1" w:styleId="UntertitelArialBold1014schwarz">
    <w:name w:val="Untertitel Arial Bold 10/14 schwarz"/>
    <w:basedOn w:val="UntertitelArialBold1014rot"/>
    <w:uiPriority w:val="99"/>
    <w:rsid w:val="00B073B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7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E2DC-D718-4C0E-8861-2EFA1E78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7E22837F.dotm</Template>
  <TotalTime>0</TotalTime>
  <Pages>2</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Fastenopfer</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Doris Feldmann</cp:lastModifiedBy>
  <cp:revision>2</cp:revision>
  <cp:lastPrinted>2014-09-15T15:47:00Z</cp:lastPrinted>
  <dcterms:created xsi:type="dcterms:W3CDTF">2018-09-05T07:50:00Z</dcterms:created>
  <dcterms:modified xsi:type="dcterms:W3CDTF">2018-09-05T07:50:00Z</dcterms:modified>
</cp:coreProperties>
</file>